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852edfe5f697459a"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27476</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PUČKO OTVORENO UČILIŠTE KATARINA ZRINSKA -  OZALJ</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46.988,11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55.303,59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44.899,37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57.426,87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2.123,28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1.234,64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382,43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1.234,64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382,43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31,0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2.505,71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 2025. godini ostvaren je tekući manjak prihoda poslovanja (Y001) od 2.123,28 eura jer su rashodi veći od prihoda.  Također je ostvaren tekući manjak od transakcija na nefinancijskoj imovini (Y002) jer se nabavljena nefinancijska imovina financira prenesenim viškom prihoda od nefinancijske imovine.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7.472,00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233,5</w:t>
            </w:r>
          </w:p>
        </w:tc>
      </w:tr>
    </w:tbl>
    <w:p>
      <w:pPr>
        <w:spacing w:before="0" w:after="0"/>
      </w:pPr>
    </w:p>
    <w:p>
      <w:r>
        <w:t xml:space="preserve">Račun 63 bilježi znatno povećanje zbog primljenih sredstava Karlovačke županije za sufinanciranje projekta Kazališno ljeto u Ozlju.</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4.353,13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2.670,00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61,3</w:t>
            </w:r>
          </w:p>
        </w:tc>
      </w:tr>
    </w:tbl>
    <w:p>
      <w:pPr>
        <w:spacing w:before="0" w:after="0"/>
      </w:pPr>
    </w:p>
    <w:p>
      <w:r>
        <w:t xml:space="preserve">Prihodi od pruženih usluga (račun 6615) su u odnosu na isto razdoblje prošle godine bitno smanjeni zbog smanjene aktivnosti tj. manjeg opsega organiziranih tečajeva i radionica te manjeg broja polaznika istih. </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38.400,34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44.161,59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115,0</w:t>
            </w:r>
          </w:p>
        </w:tc>
      </w:tr>
    </w:tbl>
    <w:p>
      <w:pPr>
        <w:spacing w:before="0" w:after="0"/>
      </w:pPr>
    </w:p>
    <w:p>
      <w:r>
        <w:t xml:space="preserve">Prihodi iz nadležnog proračuna za financiranje rashoda poslovanja su uvećani za 15 posto što je posljedica povećanja rashoda poslovanja.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30.159,19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39.659,92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131,5</w:t>
            </w:r>
          </w:p>
        </w:tc>
      </w:tr>
    </w:tbl>
    <w:p>
      <w:pPr>
        <w:spacing w:before="0" w:after="0"/>
      </w:pPr>
    </w:p>
    <w:p>
      <w:r>
        <w:t xml:space="preserve">Račun 31 (rashodi za zaposlene) uvećani su za 31,5% radi povećanja osnovice za obračun plaće, prvo uvećanje u primjeni od veljače, a drugo uvećanje u primjeni od rujna.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zaposlenima (šifre 3211 do 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537,17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832,8</w:t>
            </w:r>
          </w:p>
        </w:tc>
      </w:tr>
    </w:tbl>
    <w:p>
      <w:pPr>
        <w:spacing w:before="0" w:after="0"/>
      </w:pPr>
    </w:p>
    <w:p>
      <w:r>
        <w:t xml:space="preserve">Rashodi za naknade troškova zaposlenima (račun 321) odnose se na službena putovanja radi pohađanja i polaganja stručnog ispita za upravljanje dokumentarnim i arhivskim gradivom te troškova pohađanja (račun 3213).</w:t>
      </w:r>
    </w:p>
    <w:p>
      <w:r>
        <w:t xml:space="preserve"> </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promidžbe i informiranja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rashod usluga promidžbe i informiranja ( 3233) knjižen je račun za tisak plakata za Kazališno ljeto.</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Zakupnine i najamnine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2.138,50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309,9</w:t>
            </w:r>
          </w:p>
        </w:tc>
      </w:tr>
    </w:tbl>
    <w:p>
      <w:pPr>
        <w:spacing w:before="0" w:after="0"/>
      </w:pPr>
    </w:p>
    <w:p>
      <w:r>
        <w:t xml:space="preserve">Za potrebe kazališnog ljeta iznajmljena je oprema za razglas i rasvjetu te preklopne stolice. </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912,49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1.833,27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200,9</w:t>
            </w:r>
          </w:p>
        </w:tc>
      </w:tr>
    </w:tbl>
    <w:p>
      <w:pPr>
        <w:spacing w:before="0" w:after="0"/>
      </w:pPr>
    </w:p>
    <w:p>
      <w:r>
        <w:t xml:space="preserve">Rashod za osobne i intelektualne usluge je znatno povećan jer iskazuje trošak autorskih honorara izvođača koji su angažirani za potrebe programa Kazališno ljeto.</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373,63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1.347,88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360,8</w:t>
            </w:r>
          </w:p>
        </w:tc>
      </w:tr>
    </w:tbl>
    <w:p>
      <w:pPr>
        <w:spacing w:before="0" w:after="0"/>
      </w:pPr>
    </w:p>
    <w:p>
      <w:r>
        <w:t xml:space="preserve">Povećanje troškova računalnih usluga nastalo je kao posljedica sklapanja ugovora s informatičkom tvrtkom radi osiguravanja redovite mjesečne informatičke podrške i stabilnog funkcioniranja informacijskog sustava. </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1.234,64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382,43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31,0</w:t>
            </w:r>
          </w:p>
        </w:tc>
      </w:tr>
    </w:tbl>
    <w:p>
      <w:pPr>
        <w:spacing w:before="0" w:after="0"/>
      </w:pPr>
    </w:p>
    <w:p>
      <w:r>
        <w:t xml:space="preserve">Rashodi za nabavu proizvedene dugotrajne imovine su u odnosu na isto razdoblje prošle godine bitno smanjeni radi manje potrebe za dugotrajnom imovinom. </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Nefinancijska imovina (šifre 01+02+03+04+05+06)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3.720,49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2.879,93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77,4</w:t>
            </w:r>
          </w:p>
        </w:tc>
      </w:tr>
    </w:tbl>
    <w:p>
      <w:pPr>
        <w:spacing w:before="0" w:after="0"/>
      </w:pPr>
    </w:p>
    <w:p>
      <w:r>
        <w:t xml:space="preserve">Vrijednost nefinancijske imovine u odnosu na prošlu godinu je smanjena zbog ispravka vrijednosti. Tijekom 2025. godine nabavljeno je opreme u iznosu 382,43 eura. </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Financijska imovina (šifre 11+12+13+14+15+16+17+19)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1.572,53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244,18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w:t>
            </w:r>
          </w:p>
        </w:tc>
      </w:tr>
    </w:tbl>
    <w:p>
      <w:pPr>
        <w:spacing w:before="0" w:after="0"/>
      </w:pPr>
    </w:p>
    <w:p>
      <w:r>
        <w:t xml:space="preserve">Stanje financijske imovine u odnosu na prošlu godinu je također manje, a zbog bitno manjeg salda na računu 167.</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2.351,07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3.250,28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138,2</w:t>
            </w:r>
          </w:p>
        </w:tc>
      </w:tr>
    </w:tbl>
    <w:p>
      <w:pPr>
        <w:spacing w:before="0" w:after="0"/>
      </w:pPr>
    </w:p>
    <w:p>
      <w:r>
        <w:t xml:space="preserve">Obveze za zaposlene uvećane su za 38% uslijed povećanja osnovice za obračun plaće te posljedično povećanih materijalnih prava zaposlenika. </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materijalne rashode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314,81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Obveze za materijalne rashode odnose se na ulazne račune koji dospijevaju u 2026. godini. </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-850,20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-3.355,91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394,7</w:t>
            </w:r>
          </w:p>
        </w:tc>
      </w:tr>
    </w:tbl>
    <w:p>
      <w:pPr>
        <w:spacing w:before="0" w:after="0"/>
      </w:pPr>
    </w:p>
    <w:p>
      <w:r>
        <w:t xml:space="preserve">Na kraju 2024. godine ostvaren je manjak prihoda od nefinancijske imovine u iznosu 1.137,52 eura te višak prihoda poslovanja od 287,32 eura. </w:t>
      </w:r>
    </w:p>
    <w:p>
      <w:r>
        <w:t xml:space="preserve">Višak prihoda poslovanja u iznosu od 287,32 eura raspodijelio se za pokriće iskazanog manjka prihoda od nefinancijske imovine. Manjak prihoda od nefinancijske imovine u iznosu od 850,20 eura rasporedio se na manjak prihoda poslovanja. Manjak prihoda poslovanja u iznosu od 382,43 eura rasporedio se na višak prihoda od nefinancijske imovine.  Nakon izvršene raspodjele sredstava, stanje ukupnog manjka prihoda poslovanja iznosilo je 1.232,63 eura, a višak prihoda od nefinancijske imovine iznosilo je 382,43 eura.</w:t>
      </w:r>
    </w:p>
    <w:p>
      <w:r>
        <w:t xml:space="preserve">U 2025. godini ukupni rashodi poslovanja (račun 3) iznose 57.426,87, a ukupni prihodi (račun 6) iznose 55.303,59, čime je ostvaren manjak prihoda poslovanja u iznosu 2.123,28. </w:t>
      </w:r>
    </w:p>
    <w:p>
      <w:r>
        <w:t xml:space="preserve">Rashodi za nabavu nefinancijske imovine iznose 382,43 eura te se prenose na manjak prihoda od nefinancijske imovine, ali su prebijeni sa viškom prihoda od nefinancijske imovine.</w:t>
      </w:r>
    </w:p>
    <w:p>
      <w:r>
        <w:t xml:space="preserve">Obzirom da nije bilo kapitalnih prijenosa, nije bilo ni potrebe za korekcijom rezultata.</w:t>
      </w:r>
    </w:p>
    <w:p>
      <w:r>
        <w:t xml:space="preserve">Na kraju obračunske godine ostvaren je ukupni manjak prihoda poslovanja u iznosu 3.355,91.</w:t>
      </w:r>
    </w:p>
    <w:p>
      <w:r>
        <w:t xml:space="preserve">Rezultat po izvorima financiranja:</w:t>
      </w:r>
    </w:p>
    <w:tbl>
      <w:tblPr>
        <w:tblStyle w:val="TableGrid"/>
        <w:tblW w:w="2744.075" w:type="pct"/>
      </w:tblPr>
      <w:tblGrid>
        <w:gridCol w:w="2406"/>
        <w:gridCol w:w="2406"/>
        <w:gridCol w:w="2406"/>
        <w:gridCol w:w="2406"/>
      </w:tblGrid>
      <w:tr>
        <w:trPr>
          <w:trHeight w:val="542" w:hRule="atLeast"/>
        </w:trPr>
        <w:tc>
          <w:tcPr>
            <w:tcW w:w="1250" w:type="pct"/>
            <w:vMerge w:val="restart"/>
            <w:vAlign w:val="center"/>
          </w:tcPr>
          <w:p>
            <w:pPr>
              <w:keepNext/>
              <w:jc w:val="center"/>
            </w:pPr>
            <w:r>
              <w:t xml:space="preserve">KONTO</w:t>
            </w:r>
          </w:p>
        </w:tc>
        <w:tc>
          <w:tcPr>
            <w:tcW w:w="1250" w:type="pct"/>
            <w:vMerge w:val="restart"/>
            <w:vAlign w:val="center"/>
          </w:tcPr>
          <w:p>
            <w:pPr>
              <w:keepNext/>
              <w:jc w:val="center"/>
            </w:pPr>
            <w:r>
              <w:t xml:space="preserve">NAZIV</w:t>
            </w:r>
          </w:p>
        </w:tc>
        <w:tc>
          <w:tcPr>
            <w:tcW w:w="1250" w:type="pct"/>
            <w:gridSpan w:val="2"/>
            <w:vAlign w:val="center"/>
          </w:tcPr>
          <w:p>
            <w:pPr>
              <w:keepNext/>
              <w:jc w:val="center"/>
            </w:pPr>
            <w:r>
              <w:t xml:space="preserve">IZVOR</w:t>
            </w:r>
          </w:p>
        </w:tc>
      </w:tr>
      <w:tr>
        <w:trPr>
          <w:trHeight w:val="542" w:hRule="atLeast"/>
        </w:trPr>
        <w:tc>
          <w:tcPr>
            <w:tcW w:w="0"/>
            <w:vMerge w:val="continue"/>
          </w:tcPr>
          <w:p/>
        </w:tc>
        <w:tc>
          <w:tcPr>
            <w:tcW w:w="0"/>
            <w:vMerge w:val="continue"/>
          </w:tcPr>
          <w:p/>
        </w:tc>
        <w:tc>
          <w:tcPr>
            <w:tcW w:w="1250" w:type="pct"/>
            <w:vAlign w:val="center"/>
          </w:tcPr>
          <w:p>
            <w:pPr>
              <w:keepNext/>
              <w:jc w:val="center"/>
            </w:pPr>
            <w:r>
              <w:t xml:space="preserve">Opći prihodi i primici</w:t>
            </w:r>
          </w:p>
        </w:tc>
        <w:tc>
          <w:tcPr>
            <w:tcW w:w="1250" w:type="pct"/>
            <w:vAlign w:val="center"/>
          </w:tcPr>
          <w:p>
            <w:pPr>
              <w:keepNext/>
              <w:jc w:val="center"/>
            </w:pPr>
            <w:r>
              <w:t xml:space="preserve">Vlastiti prihodi</w:t>
            </w:r>
          </w:p>
        </w:tc>
      </w:tr>
      <w:tr>
        <w:trPr>
          <w:trHeight w:val="878" w:hRule="atLeast"/>
        </w:trPr>
        <w:tc>
          <w:tcPr>
            <w:tcW w:w="1250" w:type="pct"/>
            <w:vAlign w:val="center"/>
          </w:tcPr>
          <w:p>
            <w:pPr>
              <w:keepNext/>
              <w:jc w:val="center"/>
            </w:pPr>
            <w:r>
              <w:t xml:space="preserve">92221</w:t>
            </w:r>
          </w:p>
        </w:tc>
        <w:tc>
          <w:tcPr>
            <w:tcW w:w="1250" w:type="pct"/>
            <w:vAlign w:val="center"/>
          </w:tcPr>
          <w:p>
            <w:r>
              <w:t xml:space="preserve">Manjak prihoda poslovanja</w:t>
            </w:r>
          </w:p>
        </w:tc>
        <w:tc>
          <w:tcPr>
            <w:tcW w:w="1250" w:type="pct"/>
            <w:vAlign w:val="center"/>
          </w:tcPr>
          <w:p>
            <w:pPr>
              <w:keepNext/>
              <w:jc w:val="center"/>
            </w:pPr>
            <w:r>
              <w:t xml:space="preserve">3.484,82</w:t>
            </w:r>
          </w:p>
        </w:tc>
        <w:tc>
          <w:tcPr>
            <w:tcW w:w="1250" w:type="pct"/>
            <w:vAlign w:val="center"/>
          </w:tcPr>
          <w:p>
            <w:r>
              <w:t xml:space="preserve"> </w:t>
            </w:r>
          </w:p>
        </w:tc>
      </w:tr>
      <w:tr>
        <w:trPr>
          <w:trHeight w:val="542" w:hRule="atLeast"/>
        </w:trPr>
        <w:tc>
          <w:tcPr>
            <w:tcW w:w="1250" w:type="pct"/>
            <w:vAlign w:val="center"/>
          </w:tcPr>
          <w:p>
            <w:pPr>
              <w:keepNext/>
              <w:jc w:val="center"/>
            </w:pPr>
            <w:r>
              <w:t xml:space="preserve">92211</w:t>
            </w:r>
          </w:p>
        </w:tc>
        <w:tc>
          <w:tcPr>
            <w:tcW w:w="1250" w:type="pct"/>
            <w:vAlign w:val="center"/>
          </w:tcPr>
          <w:p>
            <w:r>
              <w:t xml:space="preserve">Višak prihoda poslovanja</w:t>
            </w:r>
          </w:p>
        </w:tc>
        <w:tc>
          <w:tcPr>
            <w:tcW w:w="1250" w:type="pct"/>
            <w:vAlign w:val="center"/>
          </w:tcPr>
          <w:p>
            <w:r>
              <w:t xml:space="preserve"> </w:t>
            </w:r>
          </w:p>
        </w:tc>
        <w:tc>
          <w:tcPr>
            <w:tcW w:w="1250" w:type="pct"/>
            <w:vAlign w:val="center"/>
          </w:tcPr>
          <w:p>
            <w:pPr>
              <w:keepNext/>
              <w:jc w:val="center"/>
            </w:pPr>
            <w:r>
              <w:t xml:space="preserve">-128,91</w:t>
            </w:r>
          </w:p>
        </w:tc>
      </w:tr>
      <w:tr>
        <w:trPr>
          <w:trHeight w:val="542" w:hRule="atLeast"/>
        </w:trPr>
        <w:tc>
          <w:tcPr>
            <w:tcW w:w="1250" w:type="pct"/>
            <w:gridSpan w:val="2"/>
            <w:vAlign w:val="center"/>
          </w:tcPr>
          <w:p>
            <w:r>
              <w:t xml:space="preserve">REZULTAT:</w:t>
            </w:r>
          </w:p>
        </w:tc>
        <w:tc>
          <w:tcPr>
            <w:tcW w:w="1250" w:type="pct"/>
            <w:gridSpan w:val="2"/>
            <w:vAlign w:val="center"/>
          </w:tcPr>
          <w:p>
            <w:pPr>
              <w:keepNext/>
              <w:jc w:val="center"/>
            </w:pPr>
            <w:r>
              <w:t xml:space="preserve">3.355,91</w:t>
            </w:r>
          </w:p>
        </w:tc>
      </w:tr>
    </w:tbl>
    <w:p>
      <w:r>
        <w:t xml:space="preserve"> </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Promjene evidentirane na kontu 91511 odnose se na amortizaciju tj. ispravak vrijednosti proizvedene dugotrajne imovine i rezultiraju smanjenjem proizvedene dugotrajne imovine, šifra P003 u iznosu 1.222,99 eura.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obveza na dan 31.12.2025. godine iznosilo je ukupno 3.565,09 eura, od čega obveze za zaposlene tj. za plaću za prosinac 2025. koja se isplaćuje u siječnju 2026. godine iznose 3.250,28 eura, a ostalih 314,81 eura se odnosi na obveze za materijalne rashode koje dospijevaju u 2026. godini. </w:t>
      </w:r>
    </w:p>
    <w:p>
      <w:r>
        <w:t xml:space="preserve">Na kraju obračunskog razdoblja sve su dospjele obveze podmirene.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e69d5aa6824695" /></Relationships>
</file>